
<file path=[Content_Types].xml><?xml version="1.0" encoding="utf-8"?>
<Types xmlns="http://schemas.openxmlformats.org/package/2006/content-types">
  <Override PartName="/word/media/image2.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jc w:val="left"/>
        <w:tblInd w:type="dxa" w:w="-108"/>
      </w:tblPr>
      <w:tblGrid>
        <w:gridCol w:w="2375"/>
        <w:gridCol w:w="9211"/>
      </w:tblGrid>
      <w:tr>
        <w:trPr>
          <w:cantSplit w:val="off"/>
        </w:trPr>
        <w:tc>
          <w:tcPr>
            <w:tcBorders/>
            <w:shd w:fill="auto"/>
            <w:tcW w:type="dxa" w:w="2375"/>
            <w:tcMar>
              <w:top w:type="dxa" w:w="0"/>
              <w:left w:type="dxa" w:w="108"/>
              <w:bottom w:type="dxa" w:w="0"/>
              <w:right w:type="dxa" w:w="108"/>
            </w:tcMar>
          </w:tcPr>
          <w:p>
            <w:pPr>
              <w:pStyle w:val="style0"/>
              <w:jc w:val="center"/>
              <w:spacing w:after="0" w:before="0" w:line="100" w:lineRule="atLeast"/>
            </w:pPr>
            <w:r>
              <w:rPr/>
              <w:drawing>
                <wp:inline distB="0" distL="0" distR="0" distT="0">
                  <wp:extent cx="1025525" cy="13119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025525" cy="1311910"/>
                          </a:xfrm>
                          <a:prstGeom prst="rect">
                            <a:avLst/>
                          </a:prstGeom>
                          <a:noFill/>
                          <a:ln w="9525">
                            <a:noFill/>
                            <a:miter lim="800000"/>
                            <a:headEnd/>
                            <a:tailEnd/>
                          </a:ln>
                        </pic:spPr>
                      </pic:pic>
                    </a:graphicData>
                  </a:graphic>
                </wp:inline>
              </w:drawing>
            </w:r>
          </w:p>
        </w:tc>
        <w:tc>
          <w:tcPr>
            <w:tcBorders/>
            <w:shd w:fill="auto"/>
            <w:tcW w:type="dxa" w:w="9211"/>
            <w:tcMar>
              <w:top w:type="dxa" w:w="0"/>
              <w:left w:type="dxa" w:w="108"/>
              <w:bottom w:type="dxa" w:w="0"/>
              <w:right w:type="dxa" w:w="108"/>
            </w:tcMar>
          </w:tcPr>
          <w:p>
            <w:pPr>
              <w:pStyle w:val="style0"/>
              <w:spacing w:after="0" w:before="0" w:line="100" w:lineRule="atLeast"/>
            </w:pPr>
            <w:r>
              <w:rPr>
                <w:color w:val="333399"/>
                <w:sz w:val="52"/>
                <w:b/>
                <w:szCs w:val="52"/>
                <w:rFonts w:ascii="Castellar" w:hAnsi="Castellar"/>
              </w:rPr>
            </w:r>
          </w:p>
          <w:p>
            <w:pPr>
              <w:pStyle w:val="style0"/>
              <w:spacing w:after="0" w:before="0" w:line="100" w:lineRule="atLeast"/>
            </w:pPr>
            <w:r>
              <w:rPr>
                <w:color w:val="333399"/>
                <w:sz w:val="52"/>
                <w:b/>
                <w:szCs w:val="52"/>
                <w:rFonts w:ascii="Castellar" w:hAnsi="Castellar"/>
              </w:rPr>
              <w:t>UNIVERSITE DE KARA</w:t>
            </w:r>
          </w:p>
        </w:tc>
      </w:tr>
    </w:tbl>
    <w:p>
      <w:pPr>
        <w:pStyle w:val="style0"/>
      </w:pPr>
      <w:r>
        <w:rPr>
          <w:rFonts w:ascii="Arial" w:cs="Arial" w:hAnsi="Arial"/>
        </w:rPr>
      </w:r>
    </w:p>
    <w:p>
      <w:pPr>
        <w:pStyle w:val="style0"/>
        <w:jc w:val="center"/>
      </w:pPr>
      <w:r>
        <w:rPr>
          <w:sz w:val="56"/>
          <w:b/>
          <w:szCs w:val="56"/>
          <w:rFonts w:ascii="Arial" w:cs="Arial" w:hAnsi="Arial"/>
        </w:rPr>
        <w:t>APPEL A COMMUNICATIONS</w:t>
      </w:r>
    </w:p>
    <w:p>
      <w:pPr>
        <w:pStyle w:val="style0"/>
        <w:jc w:val="center"/>
      </w:pPr>
      <w:r>
        <w:rPr>
          <w:sz w:val="24"/>
          <w:szCs w:val="24"/>
          <w:rFonts w:ascii="Arial" w:cs="Arial" w:hAnsi="Arial"/>
        </w:rPr>
      </w:r>
    </w:p>
    <w:p>
      <w:pPr>
        <w:pStyle w:val="style0"/>
        <w:jc w:val="center"/>
      </w:pPr>
      <w:r>
        <w:rPr>
          <w:sz w:val="28"/>
          <w:b/>
          <w:szCs w:val="32"/>
          <w:rFonts w:ascii="Arial" w:cs="Arial" w:hAnsi="Arial"/>
        </w:rPr>
        <w:t>COLLOQUE SCIENTIFIQUE INTERNATIONAL DE L’UNIVERSITE DE KARA</w:t>
      </w:r>
    </w:p>
    <w:p>
      <w:pPr>
        <w:pStyle w:val="style0"/>
        <w:jc w:val="center"/>
      </w:pPr>
      <w:r>
        <w:rPr>
          <w:sz w:val="32"/>
          <w:u w:val="single"/>
          <w:b/>
          <w:szCs w:val="24"/>
          <w:rFonts w:ascii="Arial" w:cs="Arial" w:hAnsi="Arial"/>
        </w:rPr>
        <w:t>Thème</w:t>
      </w:r>
      <w:r>
        <w:rPr>
          <w:sz w:val="32"/>
          <w:b/>
          <w:szCs w:val="24"/>
          <w:rFonts w:ascii="Arial" w:cs="Arial" w:hAnsi="Arial"/>
        </w:rPr>
        <w:t xml:space="preserve"> : Quelle contribution des universités au développement en Afrique ?</w:t>
      </w:r>
    </w:p>
    <w:p>
      <w:pPr>
        <w:pStyle w:val="style0"/>
        <w:jc w:val="center"/>
      </w:pPr>
      <w:r>
        <w:rPr>
          <w:sz w:val="28"/>
          <w:szCs w:val="28"/>
          <w:rFonts w:ascii="Arial" w:cs="Arial" w:hAnsi="Arial"/>
        </w:rPr>
        <w:t>Lieu : Kara</w:t>
      </w:r>
    </w:p>
    <w:p>
      <w:pPr>
        <w:pStyle w:val="style0"/>
        <w:jc w:val="center"/>
      </w:pPr>
      <w:r>
        <w:rPr>
          <w:sz w:val="28"/>
          <w:szCs w:val="28"/>
          <w:rFonts w:ascii="Arial" w:cs="Arial" w:hAnsi="Arial"/>
        </w:rPr>
        <w:t>Date : 12-16 mai 2014</w:t>
      </w:r>
    </w:p>
    <w:p>
      <w:pPr>
        <w:pStyle w:val="style0"/>
        <w:jc w:val="center"/>
      </w:pPr>
      <w:r>
        <w:rPr>
          <w:sz w:val="28"/>
          <w:szCs w:val="28"/>
          <w:rFonts w:ascii="Arial" w:cs="Arial" w:hAnsi="Arial"/>
        </w:rPr>
      </w:r>
    </w:p>
    <w:p>
      <w:pPr>
        <w:pStyle w:val="style0"/>
        <w:jc w:val="center"/>
      </w:pPr>
      <w:r>
        <w:rPr>
          <w:sz w:val="28"/>
          <w:b/>
          <w:szCs w:val="28"/>
          <w:rFonts w:ascii="Arial" w:cs="Arial" w:hAnsi="Arial"/>
        </w:rPr>
        <w:t>CONTEXTE ET JUSTIFICATION</w:t>
      </w:r>
    </w:p>
    <w:p>
      <w:pPr>
        <w:pStyle w:val="style0"/>
        <w:jc w:val="both"/>
        <w:spacing w:line="360" w:lineRule="atLeast"/>
      </w:pPr>
      <w:r>
        <w:rPr>
          <w:sz w:val="24"/>
          <w:szCs w:val="24"/>
          <w:rFonts w:ascii="Arial" w:cs="Arial" w:hAnsi="Arial"/>
        </w:rPr>
        <w:t>Ouverte en janvier 2004, l’Université de Kara au Togo aura dix ans en janvier 2014. Pendant ces dix années d’existence, la jeune institution a fait des progrès remarquables tant sur le plan de la formation des apprenants que sur celui de la promotion des enseignants. Elle a surtout mis à la disposition du pays, des ressources humaines qualifiées. Dans leur ambition de faire de cette institution un pôle d’excellence, les autorités de l’Université de Kara ont mis un accent particulier sur la recherche scientifique et technologique qui est une réaction appropriée aux défis de développement dans les pays africains.</w:t>
      </w:r>
    </w:p>
    <w:p>
      <w:pPr>
        <w:pStyle w:val="style0"/>
        <w:jc w:val="both"/>
        <w:spacing w:line="360" w:lineRule="atLeast"/>
      </w:pPr>
      <w:r>
        <w:rPr>
          <w:sz w:val="24"/>
          <w:szCs w:val="24"/>
          <w:rFonts w:ascii="Arial" w:cs="Arial" w:hAnsi="Arial"/>
        </w:rPr>
        <w:t>La recherche scientifique étant un préalable au développement de la science et de la technologie, il faudra susciter l’intérêt des acteurs politiques, des organisations nationales et internationales pour le soutien qu’ils doivent apporter aux universités dans le domaine de la recherche. Les universités africaines ont aujourd’hui l’impérieux devoir de questionner leur environnement par la recherche scientifique et technologique en créant des cadres adéquats pour la valorisation et la vulgarisation des résultats obtenus.</w:t>
      </w:r>
    </w:p>
    <w:p>
      <w:pPr>
        <w:pStyle w:val="style0"/>
        <w:jc w:val="both"/>
        <w:spacing w:line="360" w:lineRule="atLeast"/>
      </w:pPr>
      <w:r>
        <w:rPr>
          <w:sz w:val="24"/>
          <w:szCs w:val="24"/>
          <w:rFonts w:ascii="Arial" w:cs="Arial" w:hAnsi="Arial"/>
        </w:rPr>
        <w:t>L’Afrique fait aujourd’hui face à des défis qui exigent que des initiatives soient prises par les Africains eux-mêmes. C’est dans ce sens que les universités doivent se mobiliser et mobiliser toutes les ressources disponibles pour le rayonnement des activités de recherche. Elles doivent constamment faire le point sur les avancées et définir des stratégies pour l’avenir. D’excellents travaux sont faits dans les universités et ont besoin d’être connus. C’est là une des préoccupations majeures de ce colloque qui vise aussi à cultiver cette importante tradition universitaire.</w:t>
      </w:r>
    </w:p>
    <w:p>
      <w:pPr>
        <w:pStyle w:val="style0"/>
        <w:jc w:val="both"/>
        <w:spacing w:line="360" w:lineRule="atLeast"/>
      </w:pPr>
      <w:r>
        <w:rPr>
          <w:sz w:val="24"/>
          <w:szCs w:val="24"/>
          <w:rFonts w:ascii="Arial" w:cs="Arial" w:hAnsi="Arial"/>
        </w:rPr>
        <w:t>Pour marquer ses dix ans d’existence, l’Université de Kara a programmé plusieurs activités parmi lesquelles un colloque scientifique.</w:t>
      </w:r>
    </w:p>
    <w:p>
      <w:pPr>
        <w:pStyle w:val="style0"/>
        <w:jc w:val="both"/>
        <w:spacing w:line="360" w:lineRule="atLeast"/>
      </w:pPr>
      <w:r>
        <w:rPr>
          <w:sz w:val="24"/>
          <w:szCs w:val="24"/>
          <w:rFonts w:ascii="Arial" w:cs="Arial" w:hAnsi="Arial"/>
        </w:rPr>
        <w:t>Ce colloque voudrait encore démontrer que les universités doivent être mises au centre des priorités étatiques dans les politiques de développement. Les communications apporteront des éléments de réflexion pour nourrir le débat sur le rôle des universités dans la communauté africaine, en rendant visibles les travaux effectués dans les laboratoires et unités de recherche.</w:t>
      </w:r>
    </w:p>
    <w:p>
      <w:pPr>
        <w:pStyle w:val="style0"/>
        <w:jc w:val="both"/>
      </w:pPr>
      <w:r>
        <w:rPr>
          <w:sz w:val="24"/>
          <w:szCs w:val="24"/>
          <w:rFonts w:ascii="Arial" w:cs="Arial" w:hAnsi="Arial"/>
        </w:rPr>
      </w:r>
    </w:p>
    <w:p>
      <w:pPr>
        <w:pStyle w:val="style0"/>
        <w:jc w:val="center"/>
        <w:spacing w:line="360" w:lineRule="atLeast"/>
      </w:pPr>
      <w:r>
        <w:rPr>
          <w:sz w:val="28"/>
          <w:b/>
          <w:szCs w:val="28"/>
          <w:rFonts w:ascii="Arial" w:cs="Arial" w:hAnsi="Arial"/>
        </w:rPr>
        <w:t>OBJECTIF GENERAL</w:t>
      </w:r>
    </w:p>
    <w:p>
      <w:pPr>
        <w:pStyle w:val="style0"/>
        <w:jc w:val="both"/>
        <w:spacing w:line="360" w:lineRule="atLeast"/>
      </w:pPr>
      <w:r>
        <w:rPr>
          <w:sz w:val="24"/>
          <w:szCs w:val="24"/>
          <w:rFonts w:ascii="Arial" w:cs="Arial" w:hAnsi="Arial"/>
        </w:rPr>
        <w:t>Ce colloque vise à rendre visible, grâce à des thématiques multidisciplinaires, la contribution de l’université au développement national et international.</w:t>
      </w:r>
    </w:p>
    <w:p>
      <w:pPr>
        <w:pStyle w:val="style0"/>
        <w:jc w:val="center"/>
        <w:spacing w:line="360" w:lineRule="atLeast"/>
      </w:pPr>
      <w:r>
        <w:rPr>
          <w:sz w:val="28"/>
          <w:b/>
          <w:szCs w:val="28"/>
          <w:rFonts w:ascii="Arial" w:cs="Arial" w:hAnsi="Arial"/>
        </w:rPr>
        <w:t>OBJECTIFS SPECIFIQUES</w:t>
      </w:r>
    </w:p>
    <w:p>
      <w:pPr>
        <w:pStyle w:val="style28"/>
        <w:numPr>
          <w:ilvl w:val="0"/>
          <w:numId w:val="2"/>
        </w:numPr>
        <w:jc w:val="both"/>
        <w:spacing w:line="360" w:lineRule="atLeast"/>
      </w:pPr>
      <w:r>
        <w:rPr>
          <w:sz w:val="24"/>
          <w:szCs w:val="24"/>
          <w:rFonts w:ascii="Arial" w:cs="Arial" w:hAnsi="Arial"/>
        </w:rPr>
        <w:t xml:space="preserve">offrir aux participants un cadre d’échange et de partage d’expériences en matière de recherche. </w:t>
      </w:r>
    </w:p>
    <w:p>
      <w:pPr>
        <w:pStyle w:val="style28"/>
        <w:numPr>
          <w:ilvl w:val="0"/>
          <w:numId w:val="2"/>
        </w:numPr>
        <w:jc w:val="both"/>
        <w:spacing w:line="360" w:lineRule="atLeast"/>
      </w:pPr>
      <w:r>
        <w:rPr>
          <w:sz w:val="24"/>
          <w:szCs w:val="24"/>
          <w:rFonts w:ascii="Arial" w:cs="Arial" w:hAnsi="Arial"/>
        </w:rPr>
        <w:t xml:space="preserve">redynamiser la recherche scientifique comme outil privilégié de développement dans les pays africains. </w:t>
      </w:r>
    </w:p>
    <w:p>
      <w:pPr>
        <w:pStyle w:val="style28"/>
        <w:numPr>
          <w:ilvl w:val="0"/>
          <w:numId w:val="2"/>
        </w:numPr>
        <w:jc w:val="both"/>
        <w:spacing w:line="360" w:lineRule="atLeast"/>
      </w:pPr>
      <w:r>
        <w:rPr>
          <w:sz w:val="24"/>
          <w:szCs w:val="24"/>
          <w:rFonts w:ascii="Arial" w:cs="Arial" w:hAnsi="Arial"/>
        </w:rPr>
        <w:t xml:space="preserve">susciter un débat participatif à travers les différents champs de la thématique centrale </w:t>
      </w:r>
    </w:p>
    <w:p>
      <w:pPr>
        <w:pStyle w:val="style28"/>
        <w:numPr>
          <w:ilvl w:val="0"/>
          <w:numId w:val="2"/>
        </w:numPr>
        <w:jc w:val="both"/>
        <w:spacing w:line="360" w:lineRule="atLeast"/>
      </w:pPr>
      <w:r>
        <w:rPr>
          <w:sz w:val="24"/>
          <w:szCs w:val="24"/>
          <w:rFonts w:ascii="Arial" w:cs="Arial" w:hAnsi="Arial"/>
        </w:rPr>
        <w:t xml:space="preserve">identifier les voies pour consolider la recherche scientifique à l’Université de Kara. </w:t>
      </w:r>
    </w:p>
    <w:p>
      <w:pPr>
        <w:pStyle w:val="style0"/>
        <w:jc w:val="center"/>
      </w:pPr>
      <w:r>
        <w:rPr>
          <w:sz w:val="28"/>
          <w:b/>
          <w:szCs w:val="28"/>
          <w:rFonts w:ascii="Arial" w:cs="Arial" w:hAnsi="Arial"/>
        </w:rPr>
        <w:t>THEMATIQUES</w:t>
      </w:r>
    </w:p>
    <w:p>
      <w:pPr>
        <w:pStyle w:val="style0"/>
      </w:pPr>
      <w:r>
        <w:rPr>
          <w:sz w:val="24"/>
          <w:szCs w:val="24"/>
          <w:rFonts w:ascii="Arial" w:cs="Arial" w:hAnsi="Arial"/>
        </w:rPr>
        <w:t>Huit principaux champs thématiques ont été identifiés pour ce colloque :</w:t>
      </w:r>
    </w:p>
    <w:tbl>
      <w:tblPr>
        <w:tblBorders/>
        <w:jc w:val="left"/>
        <w:tblInd w:type="dxa" w:w="-108"/>
      </w:tblPr>
      <w:tblGrid>
        <w:gridCol w:w="4605"/>
        <w:gridCol w:w="9210"/>
      </w:tblGrid>
      <w:tr>
        <w:trPr>
          <w:cantSplit w:val="off"/>
        </w:trPr>
        <w:tc>
          <w:tcPr>
            <w:tcBorders/>
            <w:shd w:fill="auto"/>
            <w:tcW w:type="dxa" w:w="4605"/>
            <w:tcMar>
              <w:top w:type="dxa" w:w="0"/>
              <w:left w:type="dxa" w:w="108"/>
              <w:bottom w:type="dxa" w:w="0"/>
              <w:right w:type="dxa" w:w="108"/>
            </w:tcMar>
          </w:tcPr>
          <w:p>
            <w:pPr>
              <w:pStyle w:val="style28"/>
              <w:numPr>
                <w:ilvl w:val="0"/>
                <w:numId w:val="1"/>
              </w:numPr>
              <w:spacing w:after="0" w:before="0" w:line="100" w:lineRule="atLeast"/>
            </w:pPr>
            <w:r>
              <w:rPr>
                <w:sz w:val="24"/>
                <w:szCs w:val="24"/>
                <w:rFonts w:ascii="Arial" w:cs="Arial" w:hAnsi="Arial"/>
              </w:rPr>
              <w:t>Démocratie et gouvernance en Afrique</w:t>
            </w:r>
          </w:p>
          <w:p>
            <w:pPr>
              <w:pStyle w:val="style28"/>
              <w:numPr>
                <w:ilvl w:val="0"/>
                <w:numId w:val="1"/>
              </w:numPr>
              <w:spacing w:after="0" w:before="0" w:line="100" w:lineRule="atLeast"/>
            </w:pPr>
            <w:r>
              <w:rPr>
                <w:sz w:val="24"/>
                <w:szCs w:val="24"/>
                <w:rFonts w:ascii="Arial" w:cs="Arial" w:hAnsi="Arial"/>
              </w:rPr>
              <w:t>Agriculture et sécurité alimentaire</w:t>
            </w:r>
          </w:p>
          <w:p>
            <w:pPr>
              <w:pStyle w:val="style28"/>
              <w:numPr>
                <w:ilvl w:val="0"/>
                <w:numId w:val="1"/>
              </w:numPr>
              <w:spacing w:after="0" w:before="0" w:line="100" w:lineRule="atLeast"/>
            </w:pPr>
            <w:r>
              <w:rPr>
                <w:sz w:val="24"/>
                <w:szCs w:val="24"/>
                <w:rFonts w:ascii="Arial" w:cs="Arial" w:hAnsi="Arial"/>
              </w:rPr>
              <w:t>Sciences et Santé</w:t>
            </w:r>
          </w:p>
          <w:p>
            <w:pPr>
              <w:pStyle w:val="style28"/>
              <w:numPr>
                <w:ilvl w:val="0"/>
                <w:numId w:val="1"/>
              </w:numPr>
              <w:spacing w:after="0" w:before="0" w:line="100" w:lineRule="atLeast"/>
            </w:pPr>
            <w:r>
              <w:rPr>
                <w:sz w:val="24"/>
                <w:szCs w:val="24"/>
                <w:rFonts w:ascii="Arial" w:cs="Arial" w:hAnsi="Arial"/>
              </w:rPr>
              <w:t xml:space="preserve">Energies renouvelables et innovations technologiques </w:t>
            </w:r>
          </w:p>
        </w:tc>
        <w:tc>
          <w:tcPr>
            <w:tcBorders/>
            <w:shd w:fill="auto"/>
            <w:tcW w:type="dxa" w:w="9210"/>
            <w:tcMar>
              <w:top w:type="dxa" w:w="0"/>
              <w:left w:type="dxa" w:w="108"/>
              <w:bottom w:type="dxa" w:w="0"/>
              <w:right w:type="dxa" w:w="108"/>
            </w:tcMar>
          </w:tcPr>
          <w:p>
            <w:pPr>
              <w:pStyle w:val="style28"/>
              <w:numPr>
                <w:ilvl w:val="0"/>
                <w:numId w:val="1"/>
              </w:numPr>
              <w:spacing w:after="0" w:before="0" w:line="100" w:lineRule="atLeast"/>
            </w:pPr>
            <w:r>
              <w:rPr>
                <w:sz w:val="24"/>
                <w:szCs w:val="24"/>
                <w:rFonts w:ascii="Arial" w:cs="Arial" w:hAnsi="Arial"/>
              </w:rPr>
              <w:t>Environnement et développement durable</w:t>
            </w:r>
          </w:p>
          <w:p>
            <w:pPr>
              <w:pStyle w:val="style28"/>
              <w:numPr>
                <w:ilvl w:val="0"/>
                <w:numId w:val="1"/>
              </w:numPr>
              <w:spacing w:after="0" w:before="0" w:line="100" w:lineRule="atLeast"/>
            </w:pPr>
            <w:r>
              <w:rPr>
                <w:sz w:val="24"/>
                <w:szCs w:val="24"/>
                <w:rFonts w:ascii="Arial" w:cs="Arial" w:hAnsi="Arial"/>
              </w:rPr>
              <w:t>Economie et politiques publiques</w:t>
            </w:r>
          </w:p>
          <w:p>
            <w:pPr>
              <w:pStyle w:val="style28"/>
              <w:numPr>
                <w:ilvl w:val="0"/>
                <w:numId w:val="1"/>
              </w:numPr>
              <w:spacing w:after="0" w:before="0" w:line="100" w:lineRule="atLeast"/>
            </w:pPr>
            <w:r>
              <w:rPr>
                <w:sz w:val="24"/>
                <w:szCs w:val="24"/>
                <w:rFonts w:ascii="Arial" w:cs="Arial" w:hAnsi="Arial"/>
              </w:rPr>
              <w:t>Démographie et aménagement du territoire</w:t>
            </w:r>
          </w:p>
          <w:p>
            <w:pPr>
              <w:pStyle w:val="style28"/>
              <w:numPr>
                <w:ilvl w:val="0"/>
                <w:numId w:val="1"/>
              </w:numPr>
              <w:spacing w:after="0" w:before="0" w:line="100" w:lineRule="atLeast"/>
            </w:pPr>
            <w:r>
              <w:rPr>
                <w:sz w:val="24"/>
                <w:szCs w:val="24"/>
                <w:rFonts w:ascii="Arial" w:cs="Arial" w:hAnsi="Arial"/>
              </w:rPr>
              <w:t>Langues, littérature et culture.</w:t>
            </w:r>
          </w:p>
        </w:tc>
      </w:tr>
    </w:tbl>
    <w:p>
      <w:pPr>
        <w:pStyle w:val="style0"/>
        <w:jc w:val="center"/>
      </w:pPr>
      <w:r>
        <w:rPr>
          <w:sz w:val="28"/>
          <w:szCs w:val="28"/>
          <w:rFonts w:ascii="Arial" w:cs="Arial" w:hAnsi="Arial"/>
        </w:rPr>
      </w:r>
    </w:p>
    <w:p>
      <w:pPr>
        <w:pStyle w:val="style0"/>
        <w:jc w:val="center"/>
      </w:pPr>
      <w:r>
        <w:rPr>
          <w:sz w:val="28"/>
          <w:b/>
          <w:szCs w:val="28"/>
          <w:rFonts w:ascii="Arial" w:cs="Arial" w:hAnsi="Arial"/>
        </w:rPr>
        <w:t>MODALITES D’ENVOI</w:t>
      </w:r>
    </w:p>
    <w:p>
      <w:pPr>
        <w:pStyle w:val="style0"/>
        <w:jc w:val="both"/>
      </w:pPr>
      <w:r>
        <w:rPr>
          <w:sz w:val="24"/>
          <w:szCs w:val="24"/>
          <w:rFonts w:ascii="Arial" w:cs="Arial" w:hAnsi="Arial"/>
        </w:rPr>
        <w:t xml:space="preserve">Les propositions de communications doivent s’inscrire dans l’un des champs thématiques du colloque. Le résumé ne doit pas dépasser 300 mots et doit comporter : </w:t>
      </w:r>
    </w:p>
    <w:p>
      <w:pPr>
        <w:pStyle w:val="style28"/>
        <w:numPr>
          <w:ilvl w:val="0"/>
          <w:numId w:val="1"/>
        </w:numPr>
        <w:jc w:val="both"/>
      </w:pPr>
      <w:r>
        <w:rPr>
          <w:sz w:val="24"/>
          <w:szCs w:val="24"/>
          <w:rFonts w:ascii="Arial" w:cs="Arial" w:hAnsi="Arial"/>
        </w:rPr>
        <w:t xml:space="preserve">Le titre de la communication ; </w:t>
      </w:r>
    </w:p>
    <w:p>
      <w:pPr>
        <w:pStyle w:val="style28"/>
        <w:numPr>
          <w:ilvl w:val="0"/>
          <w:numId w:val="1"/>
        </w:numPr>
        <w:jc w:val="both"/>
      </w:pPr>
      <w:r>
        <w:rPr>
          <w:sz w:val="24"/>
          <w:szCs w:val="24"/>
          <w:rFonts w:ascii="Arial" w:cs="Arial" w:hAnsi="Arial"/>
        </w:rPr>
        <w:t xml:space="preserve">Les noms et prénoms, institution d’attache du ou des auteurs et </w:t>
      </w:r>
    </w:p>
    <w:p>
      <w:pPr>
        <w:pStyle w:val="style28"/>
        <w:numPr>
          <w:ilvl w:val="0"/>
          <w:numId w:val="1"/>
        </w:numPr>
        <w:jc w:val="both"/>
      </w:pPr>
      <w:r>
        <w:rPr>
          <w:sz w:val="24"/>
          <w:szCs w:val="24"/>
          <w:rFonts w:ascii="Arial" w:cs="Arial" w:hAnsi="Arial"/>
        </w:rPr>
        <w:t>Les contacts (Tel., Fax, email).</w:t>
      </w:r>
    </w:p>
    <w:p>
      <w:pPr>
        <w:pStyle w:val="style0"/>
        <w:jc w:val="both"/>
      </w:pPr>
      <w:r>
        <w:rPr>
          <w:sz w:val="24"/>
          <w:szCs w:val="24"/>
          <w:rFonts w:ascii="Arial" w:cs="Arial" w:hAnsi="Arial"/>
        </w:rPr>
        <w:t>Les résumés devront être présentés en format word, police Times New Roman, taille 12. Ils doivent comporter cinq mots clés au maximum.</w:t>
      </w:r>
    </w:p>
    <w:p>
      <w:pPr>
        <w:pStyle w:val="style0"/>
        <w:jc w:val="center"/>
      </w:pPr>
      <w:r>
        <w:rPr>
          <w:sz w:val="28"/>
          <w:szCs w:val="28"/>
          <w:rFonts w:ascii="Arial" w:cs="Arial" w:hAnsi="Arial"/>
        </w:rPr>
      </w:r>
    </w:p>
    <w:p>
      <w:pPr>
        <w:pStyle w:val="style0"/>
        <w:jc w:val="center"/>
      </w:pPr>
      <w:r>
        <w:rPr>
          <w:sz w:val="28"/>
          <w:b/>
          <w:szCs w:val="28"/>
          <w:rFonts w:ascii="Arial" w:cs="Arial" w:hAnsi="Arial"/>
        </w:rPr>
        <w:t xml:space="preserve">CONDITIONS DE PARTICIPATION ET DE SEJOUR </w:t>
      </w:r>
    </w:p>
    <w:p>
      <w:pPr>
        <w:pStyle w:val="style0"/>
      </w:pPr>
      <w:r>
        <w:rPr>
          <w:sz w:val="24"/>
          <w:i/>
          <w:b/>
          <w:szCs w:val="24"/>
          <w:rFonts w:ascii="Arial" w:cs="Arial" w:hAnsi="Arial"/>
        </w:rPr>
        <w:t xml:space="preserve">Frais d’inscription au colloque </w:t>
      </w:r>
    </w:p>
    <w:tbl>
      <w:tblPr>
        <w:tblBorders>
          <w:top w:color="00000A" w:space="0" w:sz="4" w:val="single"/>
          <w:left w:color="00000A" w:space="0" w:sz="4" w:val="single"/>
          <w:bottom w:color="00000A" w:space="0" w:sz="4" w:val="single"/>
          <w:right w:color="00000A" w:space="0" w:sz="4" w:val="single"/>
        </w:tblBorders>
        <w:jc w:val="center"/>
      </w:tblPr>
      <w:tblGrid>
        <w:gridCol w:w="4605"/>
        <w:gridCol w:w="7424"/>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4605"/>
            <w:tcMar>
              <w:top w:type="dxa" w:w="0"/>
              <w:left w:type="dxa" w:w="108"/>
              <w:bottom w:type="dxa" w:w="0"/>
              <w:right w:type="dxa" w:w="108"/>
            </w:tcMar>
          </w:tcPr>
          <w:p>
            <w:pPr>
              <w:pStyle w:val="style0"/>
              <w:spacing w:after="0" w:before="0" w:line="100" w:lineRule="atLeast"/>
            </w:pPr>
            <w:r>
              <w:rPr>
                <w:sz w:val="24"/>
                <w:b/>
                <w:szCs w:val="24"/>
                <w:rFonts w:ascii="Arial" w:cs="Arial" w:hAnsi="Arial"/>
              </w:rPr>
              <w:t>Catégorie</w:t>
            </w:r>
          </w:p>
          <w:p>
            <w:pPr>
              <w:pStyle w:val="style0"/>
              <w:spacing w:after="0" w:before="0" w:line="100" w:lineRule="atLeast"/>
            </w:pPr>
            <w:r>
              <w:rPr/>
            </w:r>
          </w:p>
        </w:tc>
        <w:tc>
          <w:tcPr>
            <w:tcBorders>
              <w:top w:color="00000A" w:space="0" w:sz="4" w:val="single"/>
              <w:left w:color="00000A" w:space="0" w:sz="4" w:val="single"/>
              <w:bottom w:color="00000A" w:space="0" w:sz="4" w:val="single"/>
              <w:right w:color="00000A" w:space="0" w:sz="4" w:val="single"/>
            </w:tcBorders>
            <w:shd w:fill="auto"/>
            <w:tcW w:type="dxa" w:w="7424"/>
            <w:tcMar>
              <w:top w:type="dxa" w:w="0"/>
              <w:left w:type="dxa" w:w="108"/>
              <w:bottom w:type="dxa" w:w="0"/>
              <w:right w:type="dxa" w:w="108"/>
            </w:tcMar>
          </w:tcPr>
          <w:p>
            <w:pPr>
              <w:pStyle w:val="style0"/>
              <w:spacing w:after="0" w:before="0" w:line="100" w:lineRule="atLeast"/>
            </w:pPr>
            <w:r>
              <w:rPr>
                <w:sz w:val="24"/>
                <w:b/>
                <w:szCs w:val="24"/>
                <w:rFonts w:ascii="Arial" w:cs="Arial" w:hAnsi="Arial"/>
              </w:rPr>
              <w:t xml:space="preserve">Frais </w:t>
            </w:r>
          </w:p>
          <w:p>
            <w:pPr>
              <w:pStyle w:val="style0"/>
              <w:spacing w:after="0" w:before="0" w:line="100" w:lineRule="atLeast"/>
            </w:pPr>
            <w:r>
              <w:rPr>
                <w:sz w:val="24"/>
                <w:szCs w:val="24"/>
                <w:rFonts w:ascii="Arial" w:cs="Arial" w:hAnsi="Arial"/>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605"/>
            <w:tcMar>
              <w:top w:type="dxa" w:w="0"/>
              <w:left w:type="dxa" w:w="108"/>
              <w:bottom w:type="dxa" w:w="0"/>
              <w:right w:type="dxa" w:w="108"/>
            </w:tcMar>
          </w:tcPr>
          <w:p>
            <w:pPr>
              <w:pStyle w:val="style0"/>
              <w:spacing w:after="0" w:before="0" w:line="100" w:lineRule="atLeast"/>
            </w:pPr>
            <w:r>
              <w:rPr>
                <w:sz w:val="24"/>
                <w:szCs w:val="24"/>
                <w:rFonts w:ascii="Arial" w:cs="Arial" w:hAnsi="Arial"/>
              </w:rPr>
              <w:t>Enseignants- chercheurs et chercheurs</w:t>
            </w:r>
          </w:p>
        </w:tc>
        <w:tc>
          <w:tcPr>
            <w:tcBorders>
              <w:top w:color="00000A" w:space="0" w:sz="4" w:val="single"/>
              <w:left w:color="00000A" w:space="0" w:sz="4" w:val="single"/>
              <w:bottom w:color="00000A" w:space="0" w:sz="4" w:val="single"/>
              <w:right w:color="00000A" w:space="0" w:sz="4" w:val="single"/>
            </w:tcBorders>
            <w:shd w:fill="auto"/>
            <w:tcW w:type="dxa" w:w="7424"/>
            <w:tcMar>
              <w:top w:type="dxa" w:w="0"/>
              <w:left w:type="dxa" w:w="108"/>
              <w:bottom w:type="dxa" w:w="0"/>
              <w:right w:type="dxa" w:w="108"/>
            </w:tcMar>
          </w:tcPr>
          <w:p>
            <w:pPr>
              <w:pStyle w:val="style0"/>
              <w:spacing w:after="0" w:before="0" w:line="100" w:lineRule="atLeast"/>
            </w:pPr>
            <w:r>
              <w:rPr>
                <w:sz w:val="24"/>
                <w:szCs w:val="24"/>
                <w:rFonts w:ascii="Arial" w:cs="Arial" w:hAnsi="Arial"/>
              </w:rPr>
              <w:t>20 000 F CFA</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605"/>
            <w:tcMar>
              <w:top w:type="dxa" w:w="0"/>
              <w:left w:type="dxa" w:w="108"/>
              <w:bottom w:type="dxa" w:w="0"/>
              <w:right w:type="dxa" w:w="108"/>
            </w:tcMar>
          </w:tcPr>
          <w:p>
            <w:pPr>
              <w:pStyle w:val="style0"/>
              <w:spacing w:after="0" w:before="0" w:line="100" w:lineRule="atLeast"/>
            </w:pPr>
            <w:r>
              <w:rPr>
                <w:sz w:val="24"/>
                <w:szCs w:val="24"/>
                <w:rFonts w:ascii="Arial" w:cs="Arial" w:hAnsi="Arial"/>
              </w:rPr>
              <w:t xml:space="preserve">Etudiants </w:t>
            </w:r>
          </w:p>
        </w:tc>
        <w:tc>
          <w:tcPr>
            <w:tcBorders>
              <w:top w:color="00000A" w:space="0" w:sz="4" w:val="single"/>
              <w:left w:color="00000A" w:space="0" w:sz="4" w:val="single"/>
              <w:bottom w:color="00000A" w:space="0" w:sz="4" w:val="single"/>
              <w:right w:color="00000A" w:space="0" w:sz="4" w:val="single"/>
            </w:tcBorders>
            <w:shd w:fill="auto"/>
            <w:tcW w:type="dxa" w:w="7424"/>
            <w:tcMar>
              <w:top w:type="dxa" w:w="0"/>
              <w:left w:type="dxa" w:w="108"/>
              <w:bottom w:type="dxa" w:w="0"/>
              <w:right w:type="dxa" w:w="108"/>
            </w:tcMar>
          </w:tcPr>
          <w:p>
            <w:pPr>
              <w:pStyle w:val="style0"/>
              <w:spacing w:after="0" w:before="0" w:line="100" w:lineRule="atLeast"/>
            </w:pPr>
            <w:r>
              <w:rPr>
                <w:sz w:val="24"/>
                <w:szCs w:val="24"/>
                <w:rFonts w:ascii="Arial" w:cs="Arial" w:hAnsi="Arial"/>
              </w:rPr>
              <w:t xml:space="preserve">  </w:t>
            </w:r>
            <w:r>
              <w:rPr>
                <w:sz w:val="24"/>
                <w:szCs w:val="24"/>
                <w:rFonts w:ascii="Arial" w:cs="Arial" w:hAnsi="Arial"/>
              </w:rPr>
              <w:t>5 000 F CFA</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4605"/>
            <w:tcMar>
              <w:top w:type="dxa" w:w="0"/>
              <w:left w:type="dxa" w:w="108"/>
              <w:bottom w:type="dxa" w:w="0"/>
              <w:right w:type="dxa" w:w="108"/>
            </w:tcMar>
          </w:tcPr>
          <w:p>
            <w:pPr>
              <w:pStyle w:val="style0"/>
              <w:spacing w:after="0" w:before="0" w:line="100" w:lineRule="atLeast"/>
            </w:pPr>
            <w:r>
              <w:rPr>
                <w:sz w:val="24"/>
                <w:szCs w:val="24"/>
                <w:rFonts w:ascii="Arial" w:cs="Arial" w:hAnsi="Arial"/>
              </w:rPr>
              <w:t>Autres</w:t>
            </w:r>
          </w:p>
        </w:tc>
        <w:tc>
          <w:tcPr>
            <w:tcBorders>
              <w:top w:color="00000A" w:space="0" w:sz="4" w:val="single"/>
              <w:left w:color="00000A" w:space="0" w:sz="4" w:val="single"/>
              <w:bottom w:color="00000A" w:space="0" w:sz="4" w:val="single"/>
              <w:right w:color="00000A" w:space="0" w:sz="4" w:val="single"/>
            </w:tcBorders>
            <w:shd w:fill="auto"/>
            <w:tcW w:type="dxa" w:w="7424"/>
            <w:tcMar>
              <w:top w:type="dxa" w:w="0"/>
              <w:left w:type="dxa" w:w="108"/>
              <w:bottom w:type="dxa" w:w="0"/>
              <w:right w:type="dxa" w:w="108"/>
            </w:tcMar>
          </w:tcPr>
          <w:p>
            <w:pPr>
              <w:pStyle w:val="style0"/>
              <w:spacing w:after="0" w:before="0" w:line="100" w:lineRule="atLeast"/>
            </w:pPr>
            <w:r>
              <w:rPr>
                <w:sz w:val="24"/>
                <w:szCs w:val="24"/>
                <w:rFonts w:ascii="Arial" w:cs="Arial" w:hAnsi="Arial"/>
              </w:rPr>
              <w:t>10 000 F CFA</w:t>
            </w:r>
          </w:p>
        </w:tc>
      </w:tr>
    </w:tbl>
    <w:p>
      <w:pPr>
        <w:pStyle w:val="style0"/>
      </w:pPr>
      <w:r>
        <w:rPr>
          <w:sz w:val="24"/>
          <w:szCs w:val="24"/>
          <w:rFonts w:ascii="Arial" w:cs="Arial" w:hAnsi="Arial"/>
        </w:rPr>
      </w:r>
    </w:p>
    <w:p>
      <w:pPr>
        <w:pStyle w:val="style0"/>
      </w:pPr>
      <w:r>
        <w:rPr>
          <w:sz w:val="24"/>
          <w:szCs w:val="24"/>
          <w:rFonts w:ascii="Arial" w:cs="Arial" w:hAnsi="Arial"/>
        </w:rPr>
        <w:t xml:space="preserve">Ces frais couvrent les documents de travail et partiellement la restauration. </w:t>
      </w:r>
    </w:p>
    <w:p>
      <w:pPr>
        <w:pStyle w:val="style0"/>
      </w:pPr>
      <w:r>
        <w:rPr>
          <w:sz w:val="24"/>
          <w:i/>
          <w:b/>
          <w:szCs w:val="24"/>
          <w:rFonts w:ascii="Arial" w:cs="Arial" w:hAnsi="Arial"/>
        </w:rPr>
        <w:t xml:space="preserve">Hébergement </w:t>
      </w:r>
    </w:p>
    <w:p>
      <w:pPr>
        <w:pStyle w:val="style0"/>
      </w:pPr>
      <w:r>
        <w:rPr>
          <w:sz w:val="24"/>
          <w:szCs w:val="24"/>
          <w:rFonts w:ascii="Arial" w:cs="Arial" w:hAnsi="Arial"/>
        </w:rPr>
        <w:t xml:space="preserve">Les frais d’hébergement sont pris en charge à 50% par le comité d’organisation. </w:t>
      </w:r>
    </w:p>
    <w:p>
      <w:pPr>
        <w:pStyle w:val="style0"/>
      </w:pPr>
      <w:r>
        <w:rPr>
          <w:sz w:val="24"/>
          <w:i/>
          <w:b/>
          <w:szCs w:val="24"/>
          <w:rFonts w:ascii="Arial" w:cs="Arial" w:hAnsi="Arial"/>
        </w:rPr>
        <w:t xml:space="preserve">Restauration </w:t>
      </w:r>
    </w:p>
    <w:p>
      <w:pPr>
        <w:pStyle w:val="style0"/>
      </w:pPr>
      <w:r>
        <w:rPr>
          <w:sz w:val="24"/>
          <w:szCs w:val="24"/>
          <w:rFonts w:ascii="Arial" w:cs="Arial" w:hAnsi="Arial"/>
        </w:rPr>
        <w:t>Les pauses et les déjeuners seront à la charge du comité d’organisation. Les dîners seront à la charge des participants.</w:t>
      </w:r>
    </w:p>
    <w:p>
      <w:pPr>
        <w:pStyle w:val="style0"/>
        <w:jc w:val="center"/>
      </w:pPr>
      <w:r>
        <w:rPr>
          <w:sz w:val="28"/>
          <w:b/>
          <w:szCs w:val="28"/>
          <w:rFonts w:ascii="Arial" w:cs="Arial" w:hAnsi="Arial"/>
        </w:rPr>
        <w:t>DATES IMPORTANTES</w:t>
      </w:r>
    </w:p>
    <w:p>
      <w:pPr>
        <w:pStyle w:val="style0"/>
        <w:jc w:val="both"/>
      </w:pPr>
      <w:r>
        <w:rPr>
          <w:sz w:val="24"/>
          <w:szCs w:val="24"/>
          <w:rFonts w:ascii="Arial" w:cs="Arial" w:hAnsi="Arial"/>
        </w:rPr>
        <w:t xml:space="preserve">25 novembre 2013 : Première annonce </w:t>
      </w:r>
    </w:p>
    <w:p>
      <w:pPr>
        <w:pStyle w:val="style0"/>
        <w:jc w:val="both"/>
      </w:pPr>
      <w:r>
        <w:rPr>
          <w:sz w:val="24"/>
          <w:szCs w:val="24"/>
          <w:rFonts w:ascii="Arial" w:cs="Arial" w:hAnsi="Arial"/>
        </w:rPr>
        <w:t xml:space="preserve">18 janvier 2014 : Deuxième annonce </w:t>
      </w:r>
    </w:p>
    <w:p>
      <w:pPr>
        <w:pStyle w:val="style0"/>
        <w:jc w:val="both"/>
      </w:pPr>
      <w:r>
        <w:rPr>
          <w:sz w:val="24"/>
          <w:szCs w:val="24"/>
          <w:rFonts w:ascii="Arial" w:cs="Arial" w:hAnsi="Arial"/>
        </w:rPr>
        <w:t>28 février 2014 : Date limite de réception des résumés de communications</w:t>
      </w:r>
    </w:p>
    <w:p>
      <w:pPr>
        <w:pStyle w:val="style0"/>
        <w:jc w:val="both"/>
      </w:pPr>
      <w:r>
        <w:rPr>
          <w:sz w:val="24"/>
          <w:szCs w:val="24"/>
          <w:rFonts w:ascii="Arial" w:cs="Arial" w:hAnsi="Arial"/>
        </w:rPr>
        <w:t>17 mars 2014 : Notification d’acceptation de la communication.</w:t>
      </w:r>
    </w:p>
    <w:p>
      <w:pPr>
        <w:pStyle w:val="style0"/>
        <w:jc w:val="both"/>
      </w:pPr>
      <w:r>
        <w:rPr>
          <w:sz w:val="24"/>
          <w:szCs w:val="24"/>
          <w:rFonts w:ascii="Arial" w:cs="Arial" w:hAnsi="Arial"/>
        </w:rPr>
      </w:r>
    </w:p>
    <w:p>
      <w:pPr>
        <w:pStyle w:val="style0"/>
        <w:jc w:val="center"/>
      </w:pPr>
      <w:r>
        <w:rPr>
          <w:sz w:val="28"/>
          <w:b/>
          <w:szCs w:val="28"/>
          <w:rFonts w:ascii="Arial" w:cs="Arial" w:hAnsi="Arial"/>
        </w:rPr>
        <w:t xml:space="preserve">CORRESPONDANCE </w:t>
      </w:r>
    </w:p>
    <w:p>
      <w:pPr>
        <w:pStyle w:val="style0"/>
      </w:pPr>
      <w:r>
        <w:rPr>
          <w:sz w:val="24"/>
          <w:szCs w:val="24"/>
          <w:rFonts w:ascii="Arial" w:cs="Arial" w:hAnsi="Arial"/>
        </w:rPr>
        <w:t>Les propositions de résumés ou toute correspondance en rapport avec ce colloque doivent être envoyées à :</w:t>
      </w:r>
    </w:p>
    <w:p>
      <w:pPr>
        <w:pStyle w:val="style0"/>
      </w:pPr>
      <w:hyperlink r:id="rId3">
        <w:r>
          <w:rPr>
            <w:sz w:val="24"/>
            <w:b/>
            <w:szCs w:val="24"/>
            <w:rStyle w:val="style19"/>
            <w:rFonts w:ascii="Arial" w:cs="Arial" w:hAnsi="Arial"/>
          </w:rPr>
          <w:t>colloqueuk2014@gmail.com</w:t>
        </w:r>
      </w:hyperlink>
      <w:r>
        <w:rPr>
          <w:sz w:val="24"/>
          <w:b/>
          <w:szCs w:val="24"/>
          <w:rFonts w:ascii="Arial" w:cs="Arial" w:hAnsi="Arial"/>
        </w:rPr>
        <w:t xml:space="preserve">, </w:t>
      </w:r>
      <w:hyperlink r:id="rId4">
        <w:r>
          <w:rPr>
            <w:sz w:val="24"/>
            <w:b/>
            <w:szCs w:val="24"/>
            <w:rStyle w:val="style19"/>
            <w:rFonts w:ascii="Arial" w:cs="Arial" w:hAnsi="Arial"/>
          </w:rPr>
          <w:t>gnonbaba@gmail.com</w:t>
        </w:r>
      </w:hyperlink>
      <w:r>
        <w:rPr>
          <w:sz w:val="24"/>
          <w:b/>
          <w:szCs w:val="24"/>
          <w:rFonts w:ascii="Arial" w:cs="Arial" w:hAnsi="Arial"/>
        </w:rPr>
        <w:t xml:space="preserve">, </w:t>
      </w:r>
      <w:r>
        <w:rPr>
          <w:sz w:val="24"/>
          <w:b/>
          <w:szCs w:val="24"/>
          <w:rFonts w:ascii="Arial" w:cs="Arial" w:eastAsia="Times New Roman" w:hAnsi="Arial"/>
          <w:lang w:eastAsia="fr-FR"/>
        </w:rPr>
        <w:t xml:space="preserve"> </w:t>
      </w:r>
      <w:hyperlink r:id="rId5">
        <w:r>
          <w:rPr>
            <w:sz w:val="24"/>
            <w:b/>
            <w:szCs w:val="24"/>
            <w:rStyle w:val="style19"/>
            <w:rFonts w:ascii="Arial" w:cs="Arial" w:eastAsia="Times New Roman" w:hAnsi="Arial"/>
            <w:lang w:eastAsia="fr-FR"/>
          </w:rPr>
          <w:t>joamouzou3@yahoo.fr</w:t>
        </w:r>
      </w:hyperlink>
      <w:r>
        <w:rPr>
          <w:sz w:val="24"/>
          <w:b/>
          <w:szCs w:val="24"/>
          <w:rFonts w:ascii="Arial" w:cs="Arial" w:hAnsi="Arial"/>
        </w:rPr>
        <w:t xml:space="preserve">, </w:t>
      </w:r>
      <w:hyperlink r:id="rId6">
        <w:r>
          <w:rPr>
            <w:sz w:val="24"/>
            <w:b/>
            <w:szCs w:val="24"/>
            <w:rStyle w:val="style19"/>
            <w:rFonts w:ascii="Arial" w:cs="Arial" w:eastAsia="Times New Roman" w:hAnsi="Arial"/>
            <w:lang w:eastAsia="fr-FR"/>
          </w:rPr>
          <w:t>tchagnao2004@yahoo.fr</w:t>
        </w:r>
      </w:hyperlink>
      <w:r>
        <w:rPr>
          <w:sz w:val="24"/>
          <w:b/>
          <w:szCs w:val="24"/>
          <w:rFonts w:ascii="Arial" w:cs="Arial" w:hAnsi="Arial"/>
        </w:rPr>
        <w:t xml:space="preserve">, </w:t>
      </w:r>
      <w:hyperlink r:id="rId7">
        <w:r>
          <w:rPr>
            <w:sz w:val="24"/>
            <w:b/>
            <w:szCs w:val="24"/>
            <w:rStyle w:val="style19"/>
            <w:rFonts w:ascii="Arial" w:cs="Arial" w:eastAsia="Times New Roman" w:hAnsi="Arial"/>
            <w:lang w:eastAsia="fr-FR"/>
          </w:rPr>
          <w:t>segbeaya@yahoo.fr</w:t>
        </w:r>
      </w:hyperlink>
      <w:r>
        <w:rPr>
          <w:sz w:val="24"/>
          <w:b/>
          <w:szCs w:val="24"/>
          <w:rFonts w:ascii="Arial" w:cs="Arial" w:hAnsi="Arial"/>
        </w:rPr>
        <w:t>.</w:t>
      </w:r>
    </w:p>
    <w:p>
      <w:pPr>
        <w:pStyle w:val="style0"/>
      </w:pPr>
      <w:r>
        <w:rPr/>
      </w:r>
    </w:p>
    <w:sectPr>
      <w:formProt w:val="off"/>
      <w:pgSz w:h="16838" w:w="11906"/>
      <w:textDirection w:val="lrTb"/>
      <w:pgNumType w:fmt="decimal"/>
      <w:type w:val="nextPage"/>
      <w:footerReference r:id="rId8"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30"/>
    </w:pPr>
    <w:r>
      <w:fldChar w:fldCharType="begin"/>
    </w:r>
    <w: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Times New Roman" w:cs="Times New Roman" w:hAnsi="Times New Roman"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bullet"/>
      <w:lvlJc w:val="left"/>
      <w:lvlText w:val="-"/>
      <w:pPr>
        <w:ind w:hanging="360" w:left="720"/>
      </w:pPr>
      <w:rPr>
        <w:rFonts w:ascii="Cambria" w:cs="Cambria" w:hAnsi="Cambria"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fr-FR"/>
    </w:rPr>
  </w:style>
  <w:style w:styleId="style15" w:type="character">
    <w:name w:val="Default Paragraph Font"/>
    <w:next w:val="style15"/>
    <w:rPr/>
  </w:style>
  <w:style w:styleId="style16" w:type="character">
    <w:name w:val="Texte de bulles Car"/>
    <w:basedOn w:val="style15"/>
    <w:next w:val="style16"/>
    <w:rPr/>
  </w:style>
  <w:style w:styleId="style17" w:type="character">
    <w:name w:val="En-tête Car"/>
    <w:basedOn w:val="style15"/>
    <w:next w:val="style17"/>
    <w:rPr/>
  </w:style>
  <w:style w:styleId="style18" w:type="character">
    <w:name w:val="Pied de page Car"/>
    <w:basedOn w:val="style15"/>
    <w:next w:val="style18"/>
    <w:rPr/>
  </w:style>
  <w:style w:styleId="style19" w:type="character">
    <w:name w:val="Lien Internet"/>
    <w:basedOn w:val="style15"/>
    <w:next w:val="style19"/>
    <w:rPr>
      <w:color w:val="0000FF"/>
      <w:u w:val="single"/>
      <w:lang w:bidi="fr-FR" w:eastAsia="fr-FR" w:val="fr-FR"/>
    </w:rPr>
  </w:style>
  <w:style w:styleId="style20" w:type="character">
    <w:name w:val="ListLabel 1"/>
    <w:next w:val="style20"/>
    <w:rPr>
      <w:rFonts w:cs="Calibri"/>
    </w:rPr>
  </w:style>
  <w:style w:styleId="style21" w:type="character">
    <w:name w:val="ListLabel 2"/>
    <w:next w:val="style21"/>
    <w:rPr>
      <w:rFonts w:cs="Courier New"/>
    </w:rPr>
  </w:style>
  <w:style w:styleId="style22" w:type="paragraph">
    <w:name w:val="Titre"/>
    <w:basedOn w:val="style0"/>
    <w:next w:val="style23"/>
    <w:pPr>
      <w:keepNext/>
      <w:spacing w:after="120" w:before="240"/>
    </w:pPr>
    <w:rPr>
      <w:sz w:val="28"/>
      <w:szCs w:val="28"/>
      <w:rFonts w:ascii="Liberation Sans" w:cs="DejaVu Sans" w:eastAsia="DejaVu Sans" w:hAnsi="Liberation Sans"/>
    </w:rPr>
  </w:style>
  <w:style w:styleId="style23" w:type="paragraph">
    <w:name w:val="Corps de texte"/>
    <w:basedOn w:val="style0"/>
    <w:next w:val="style23"/>
    <w:pPr>
      <w:spacing w:after="120" w:before="0"/>
    </w:pPr>
    <w:rPr/>
  </w:style>
  <w:style w:styleId="style24" w:type="paragraph">
    <w:name w:val="Liste"/>
    <w:basedOn w:val="style23"/>
    <w:next w:val="style24"/>
    <w:pPr/>
    <w:rPr/>
  </w:style>
  <w:style w:styleId="style25" w:type="paragraph">
    <w:name w:val="Légende"/>
    <w:basedOn w:val="style0"/>
    <w:next w:val="style25"/>
    <w:pPr>
      <w:suppressLineNumbers/>
      <w:spacing w:after="120" w:before="120"/>
    </w:pPr>
    <w:rPr>
      <w:sz w:val="24"/>
      <w:i/>
      <w:szCs w:val="24"/>
      <w:iCs/>
    </w:rPr>
  </w:style>
  <w:style w:styleId="style26" w:type="paragraph">
    <w:name w:val="Index"/>
    <w:basedOn w:val="style0"/>
    <w:next w:val="style26"/>
    <w:pPr>
      <w:suppressLineNumbers/>
    </w:pPr>
    <w:rPr/>
  </w:style>
  <w:style w:styleId="style27" w:type="paragraph">
    <w:name w:val="Balloon Text"/>
    <w:basedOn w:val="style0"/>
    <w:next w:val="style27"/>
    <w:pPr/>
    <w:rPr/>
  </w:style>
  <w:style w:styleId="style28" w:type="paragraph">
    <w:name w:val="List Paragraph"/>
    <w:basedOn w:val="style0"/>
    <w:next w:val="style28"/>
    <w:pPr/>
    <w:rPr/>
  </w:style>
  <w:style w:styleId="style29" w:type="paragraph">
    <w:name w:val="En-tête"/>
    <w:basedOn w:val="style0"/>
    <w:next w:val="style29"/>
    <w:pPr>
      <w:tabs>
        <w:tab w:leader="none" w:pos="4536" w:val="center"/>
        <w:tab w:leader="none" w:pos="9072" w:val="right"/>
      </w:tabs>
      <w:suppressLineNumbers/>
      <w:spacing w:after="0" w:before="0" w:line="100" w:lineRule="atLeast"/>
    </w:pPr>
    <w:rPr/>
  </w:style>
  <w:style w:styleId="style30" w:type="paragraph">
    <w:name w:val="Pied de page"/>
    <w:basedOn w:val="style0"/>
    <w:next w:val="style30"/>
    <w:pPr>
      <w:tabs>
        <w:tab w:leader="none" w:pos="4536" w:val="center"/>
        <w:tab w:leader="none" w:pos="9072" w:val="right"/>
      </w:tabs>
      <w:suppressLineNumber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yperlink" Target="mailto:colloqueuk2014@gmail.com" TargetMode="External"/><Relationship Id="rId4" Type="http://schemas.openxmlformats.org/officeDocument/2006/relationships/hyperlink" Target="mailto:gnonbaba@gmail.com" TargetMode="External"/><Relationship Id="rId5" Type="http://schemas.openxmlformats.org/officeDocument/2006/relationships/hyperlink" Target="mailto:joamouzou3@yahoo.fr" TargetMode="External"/><Relationship Id="rId6" Type="http://schemas.openxmlformats.org/officeDocument/2006/relationships/hyperlink" Target="mailto:tchagnao2004@yahoo.fr" TargetMode="External"/><Relationship Id="rId7" Type="http://schemas.openxmlformats.org/officeDocument/2006/relationships/hyperlink" Target="mailto:segbeaya@yahoo.fr"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2013-11-25T17:24:00.00Z</dcterms:created>
  <dc:creator>ABALO</dc:creator>
  <cp:lastModifiedBy>user</cp:lastModifiedBy>
  <cp:lastPrinted>2013-11-11T14:53:00.00Z</cp:lastPrinted>
  <dcterms:modified xsi:type="dcterms:W3CDTF">2013-11-25T18:24:00.00Z</dcterms:modified>
  <cp:revision>3</cp:revision>
</cp:coreProperties>
</file>